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国家民委2</w:t>
      </w:r>
      <w:r>
        <w:rPr>
          <w:rFonts w:ascii="黑体" w:hAnsi="黑体" w:eastAsia="黑体" w:cs="宋体"/>
          <w:color w:val="000000"/>
          <w:kern w:val="0"/>
          <w:sz w:val="32"/>
          <w:szCs w:val="32"/>
        </w:rPr>
        <w:t>021</w:t>
      </w:r>
      <w:r>
        <w:rPr>
          <w:rFonts w:hint="eastAsia" w:ascii="黑体" w:hAnsi="黑体" w:eastAsia="黑体" w:cs="宋体"/>
          <w:color w:val="000000"/>
          <w:kern w:val="0"/>
          <w:sz w:val="32"/>
          <w:szCs w:val="32"/>
        </w:rPr>
        <w:t>年政府信息公开工作年度报告</w:t>
      </w:r>
    </w:p>
    <w:p>
      <w:pPr>
        <w:widowControl/>
        <w:jc w:val="center"/>
        <w:rPr>
          <w:rFonts w:ascii="黑体" w:hAnsi="黑体" w:eastAsia="黑体" w:cs="宋体"/>
          <w:color w:val="000000"/>
          <w:kern w:val="0"/>
          <w:sz w:val="32"/>
          <w:szCs w:val="32"/>
        </w:rPr>
      </w:pPr>
    </w:p>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根据《中华人民共和国政府信息公开条例》（国务院令第711号）要求，特向社会公布2021年度国家民委政府信息公开工作年度报告。数据统计期限为2021年1月1日至2021年12月31日。国家民委网站（www.neac.gov.cn）上可查阅或下载本报告。如对本报告有任何疑问，请与国家民委政务公开与信息工作领导小组办公室联系（地址：北京市西城区复兴门内大街甲49号，邮编：100800，电话：010-66508231）。</w:t>
      </w:r>
    </w:p>
    <w:p>
      <w:pPr>
        <w:widowControl/>
        <w:ind w:firstLine="480"/>
        <w:jc w:val="left"/>
        <w:rPr>
          <w:rFonts w:ascii="宋体" w:hAnsi="宋体" w:eastAsia="宋体" w:cs="宋体"/>
          <w:color w:val="000000"/>
          <w:kern w:val="0"/>
          <w:sz w:val="32"/>
          <w:szCs w:val="32"/>
        </w:rPr>
      </w:pPr>
      <w:r>
        <w:rPr>
          <w:rFonts w:hint="eastAsia" w:ascii="黑体" w:hAnsi="黑体" w:eastAsia="黑体" w:cs="宋体"/>
          <w:b/>
          <w:bCs/>
          <w:color w:val="000000"/>
          <w:kern w:val="0"/>
          <w:sz w:val="32"/>
          <w:szCs w:val="32"/>
        </w:rPr>
        <w:t>一、总体情况</w:t>
      </w:r>
    </w:p>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国家民委深入学习贯彻习近平新时代中国特色社会主义思想，学习贯彻党的十九届六中全会精神和中央民族工作会议精神，紧紧围绕铸牢中华民族共同体意识工作主线，全面做好政府信息公开，提高工作透明度，推进法治政府建设。</w:t>
      </w:r>
    </w:p>
    <w:p>
      <w:pPr>
        <w:widowControl/>
        <w:ind w:firstLine="480"/>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（一）聚焦民族工作和民委工作重点及时发布信息。</w:t>
      </w:r>
      <w:r>
        <w:rPr>
          <w:rFonts w:hint="eastAsia" w:ascii="宋体" w:hAnsi="宋体" w:eastAsia="宋体" w:cs="宋体"/>
          <w:color w:val="000000"/>
          <w:kern w:val="0"/>
          <w:sz w:val="32"/>
          <w:szCs w:val="32"/>
        </w:rPr>
        <w:t>一是第一时间推出“贯彻落实中央民族工作会议精神”网站专题，公开国家民委党组、各部门各单位学习贯彻情况；官方微信公众号开设“学习贯彻中央民族工作会议精神”“学习进行时”等多个重点栏目，发布解读文章、评论员文章等，深入阐释中央民族工作会议精神。二是做好第六届全国少数民族文艺会演线上展播，及时更新会演信息。三是聚焦党史学习教育开设网站专题，全面展示委系统加强党史学习、有序开展“我为群众办实事”工作情况。</w:t>
      </w:r>
    </w:p>
    <w:p>
      <w:pPr>
        <w:widowControl/>
        <w:jc w:val="center"/>
        <w:rPr>
          <w:rFonts w:ascii="Calibri" w:hAnsi="Calibri" w:eastAsia="宋体" w:cs="Calibri"/>
          <w:color w:val="000000"/>
          <w:kern w:val="0"/>
          <w:sz w:val="32"/>
          <w:szCs w:val="32"/>
        </w:rPr>
      </w:pPr>
      <w:r>
        <w:rPr>
          <w:rFonts w:ascii="Calibri" w:hAnsi="Calibri" w:eastAsia="宋体" w:cs="Calibri"/>
          <w:color w:val="000000"/>
          <w:kern w:val="0"/>
          <w:sz w:val="32"/>
          <w:szCs w:val="32"/>
        </w:rPr>
        <w:drawing>
          <wp:inline distT="0" distB="0" distL="0" distR="0">
            <wp:extent cx="4386580" cy="2512060"/>
            <wp:effectExtent l="0" t="0" r="0" b="2540"/>
            <wp:docPr id="3" name="图片 3" descr="http://192.168.3.45:8888/website-webapp/common/preview_resource.action?id=b908b6b1022b41a8a08dc665ad0a781e&amp;type=png&amp;jcrVe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http://192.168.3.45:8888/website-webapp/common/preview_resource.action?id=b908b6b1022b41a8a08dc665ad0a781e&amp;type=png&amp;jcrVer=1.0"/>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392491" cy="2516023"/>
                    </a:xfrm>
                    <a:prstGeom prst="rect">
                      <a:avLst/>
                    </a:prstGeom>
                    <a:noFill/>
                    <a:ln>
                      <a:noFill/>
                    </a:ln>
                  </pic:spPr>
                </pic:pic>
              </a:graphicData>
            </a:graphic>
          </wp:inline>
        </w:drawing>
      </w:r>
    </w:p>
    <w:p>
      <w:pPr>
        <w:widowControl/>
        <w:rPr>
          <w:rFonts w:ascii="宋体" w:hAnsi="宋体" w:eastAsia="宋体" w:cs="宋体"/>
          <w:color w:val="000000"/>
          <w:kern w:val="0"/>
          <w:sz w:val="32"/>
          <w:szCs w:val="32"/>
        </w:rPr>
      </w:pPr>
      <w:r>
        <w:rPr>
          <w:rFonts w:hint="eastAsia" w:ascii="楷体" w:hAnsi="楷体" w:eastAsia="楷体" w:cs="宋体"/>
          <w:color w:val="0000FF"/>
          <w:kern w:val="0"/>
          <w:sz w:val="32"/>
          <w:szCs w:val="32"/>
        </w:rPr>
        <w:t>图一：推出“贯彻落实中央民族工作会议精神”网站专题</w:t>
      </w:r>
    </w:p>
    <w:p>
      <w:pPr>
        <w:widowControl/>
        <w:ind w:firstLine="48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jc w:val="center"/>
        <w:rPr>
          <w:rFonts w:ascii="宋体" w:hAnsi="宋体" w:eastAsia="宋体" w:cs="宋体"/>
          <w:color w:val="000000"/>
          <w:kern w:val="0"/>
          <w:sz w:val="32"/>
          <w:szCs w:val="32"/>
        </w:rPr>
      </w:pPr>
      <w:r>
        <w:rPr>
          <w:rFonts w:ascii="宋体" w:hAnsi="宋体" w:eastAsia="宋体" w:cs="宋体"/>
          <w:color w:val="000000"/>
          <w:kern w:val="0"/>
          <w:sz w:val="32"/>
          <w:szCs w:val="32"/>
        </w:rPr>
        <w:drawing>
          <wp:inline distT="0" distB="0" distL="0" distR="0">
            <wp:extent cx="4305300" cy="2724150"/>
            <wp:effectExtent l="0" t="0" r="0" b="0"/>
            <wp:docPr id="2" name="图片 2" descr="http://192.168.3.45:8888/website-webapp/common/preview_resource.action?id=ef6a08fc5e6440679c12902dd410b828&amp;type=png&amp;jcrVe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ttp://192.168.3.45:8888/website-webapp/common/preview_resource.action?id=ef6a08fc5e6440679c12902dd410b828&amp;type=png&amp;jcrVer=1.0"/>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319857" cy="2733118"/>
                    </a:xfrm>
                    <a:prstGeom prst="rect">
                      <a:avLst/>
                    </a:prstGeom>
                    <a:noFill/>
                    <a:ln>
                      <a:noFill/>
                    </a:ln>
                  </pic:spPr>
                </pic:pic>
              </a:graphicData>
            </a:graphic>
          </wp:inline>
        </w:drawing>
      </w:r>
      <w:r>
        <w:rPr>
          <w:rFonts w:hint="eastAsia" w:ascii="宋体" w:hAnsi="宋体" w:eastAsia="宋体" w:cs="宋体"/>
          <w:color w:val="000000"/>
          <w:kern w:val="0"/>
          <w:sz w:val="32"/>
          <w:szCs w:val="32"/>
        </w:rPr>
        <w:t> </w:t>
      </w:r>
    </w:p>
    <w:p>
      <w:pPr>
        <w:widowControl/>
        <w:ind w:firstLine="480"/>
        <w:jc w:val="center"/>
        <w:rPr>
          <w:rFonts w:ascii="宋体" w:hAnsi="宋体" w:eastAsia="宋体" w:cs="宋体"/>
          <w:color w:val="000000"/>
          <w:kern w:val="0"/>
          <w:sz w:val="32"/>
          <w:szCs w:val="32"/>
        </w:rPr>
      </w:pPr>
      <w:r>
        <w:rPr>
          <w:rFonts w:hint="eastAsia" w:ascii="楷体" w:hAnsi="楷体" w:eastAsia="楷体" w:cs="宋体"/>
          <w:color w:val="0000FF"/>
          <w:kern w:val="0"/>
          <w:sz w:val="32"/>
          <w:szCs w:val="32"/>
        </w:rPr>
        <w:t>图二：官方微信公众号聚焦主线做好宣传阐释</w:t>
      </w:r>
    </w:p>
    <w:p>
      <w:pPr>
        <w:widowControl/>
        <w:ind w:firstLine="480"/>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（二）全面做好主动公开。</w:t>
      </w:r>
      <w:r>
        <w:rPr>
          <w:rFonts w:hint="eastAsia" w:ascii="宋体" w:hAnsi="宋体" w:eastAsia="宋体" w:cs="宋体"/>
          <w:color w:val="000000"/>
          <w:kern w:val="0"/>
          <w:sz w:val="32"/>
          <w:szCs w:val="32"/>
        </w:rPr>
        <w:t>及时发布《国家民委关于命名第八批全国民族团结进步示范区示范单位的决定》《国家民委办公厅关于开展2021年度全国民族工作优秀调研报告评选的通知》《国家民委关于公布所属高校2020-2021学年度国家励志奖学金获奖学生名单的通知》《关于2021年度国家民委高等教育教学改革研究项目立项情况的公示》等文件，保证公众广泛知晓相关信息。常态化做好“机构设置”“直属高校”“直属文化事业单位”“主管社团”的信息更新。发布公务员考录、委属事业单位公开招聘、委内干部任免等人事工作信息83篇；公开人大代表、政协委员的建议提案答复10件；做好科研立项审批、评审、验收等环节的公示；按要求及时公开国家民委预决算信息。按时发布法治政府建设年度报告、政府信息公开工作年度报告。全年主动公开政府信息518条。</w:t>
      </w:r>
    </w:p>
    <w:p>
      <w:pPr>
        <w:widowControl/>
        <w:ind w:firstLine="480"/>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（三）及时合规办理依申请公开。</w:t>
      </w:r>
      <w:r>
        <w:rPr>
          <w:rFonts w:hint="eastAsia" w:ascii="宋体" w:hAnsi="宋体" w:eastAsia="宋体" w:cs="宋体"/>
          <w:color w:val="000000"/>
          <w:kern w:val="0"/>
          <w:sz w:val="32"/>
          <w:szCs w:val="32"/>
        </w:rPr>
        <w:t>全年受理申请获取政府信息公开20件，按时答复20件。</w:t>
      </w:r>
    </w:p>
    <w:p>
      <w:pPr>
        <w:widowControl/>
        <w:ind w:firstLine="480"/>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（四）加强国家民委政府网站平台建设。</w:t>
      </w:r>
      <w:r>
        <w:rPr>
          <w:rFonts w:hint="eastAsia" w:ascii="宋体" w:hAnsi="宋体" w:eastAsia="宋体" w:cs="宋体"/>
          <w:color w:val="000000"/>
          <w:kern w:val="0"/>
          <w:sz w:val="32"/>
          <w:szCs w:val="32"/>
        </w:rPr>
        <w:t>政府网站积极适应网民需求，优化页面设计、调整栏目设置；开辟专栏，集中展示部门规章，提供多版本下载服务。按照国家有关标准，对政府网站进行适老化和无障碍改造。政府网站主任信箱全年共收到留言151件，均已及时答复。</w:t>
      </w:r>
    </w:p>
    <w:p>
      <w:pPr>
        <w:widowControl/>
        <w:jc w:val="center"/>
        <w:rPr>
          <w:rFonts w:ascii="宋体" w:hAnsi="宋体" w:eastAsia="宋体" w:cs="宋体"/>
          <w:color w:val="000000"/>
          <w:kern w:val="0"/>
          <w:sz w:val="32"/>
          <w:szCs w:val="32"/>
        </w:rPr>
      </w:pPr>
      <w:r>
        <w:rPr>
          <w:rFonts w:ascii="宋体" w:hAnsi="宋体" w:eastAsia="宋体" w:cs="宋体"/>
          <w:color w:val="000000"/>
          <w:kern w:val="0"/>
          <w:sz w:val="32"/>
          <w:szCs w:val="32"/>
        </w:rPr>
        <w:drawing>
          <wp:inline distT="0" distB="0" distL="0" distR="0">
            <wp:extent cx="3149600" cy="5360035"/>
            <wp:effectExtent l="0" t="0" r="0" b="0"/>
            <wp:docPr id="1" name="图片 1" descr="http://192.168.3.45:8888/website-webapp/common/preview_resource.action?id=f3c4835ff1964c2bae8d74e94bb39af4&amp;type=jpg&amp;jcrVe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192.168.3.45:8888/website-webapp/common/preview_resource.action?id=f3c4835ff1964c2bae8d74e94bb39af4&amp;type=jpg&amp;jcrVer=1.0"/>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3152085" cy="5364499"/>
                    </a:xfrm>
                    <a:prstGeom prst="rect">
                      <a:avLst/>
                    </a:prstGeom>
                    <a:noFill/>
                    <a:ln>
                      <a:noFill/>
                    </a:ln>
                  </pic:spPr>
                </pic:pic>
              </a:graphicData>
            </a:graphic>
          </wp:inline>
        </w:drawing>
      </w:r>
      <w:r>
        <w:rPr>
          <w:rFonts w:hint="eastAsia" w:ascii="宋体" w:hAnsi="宋体" w:eastAsia="宋体" w:cs="宋体"/>
          <w:color w:val="000000"/>
          <w:kern w:val="0"/>
          <w:sz w:val="32"/>
          <w:szCs w:val="32"/>
        </w:rPr>
        <w:t> </w:t>
      </w:r>
    </w:p>
    <w:p>
      <w:pPr>
        <w:widowControl/>
        <w:ind w:firstLine="480"/>
        <w:jc w:val="center"/>
        <w:rPr>
          <w:rFonts w:ascii="宋体" w:hAnsi="宋体" w:eastAsia="宋体" w:cs="宋体"/>
          <w:color w:val="000000"/>
          <w:kern w:val="0"/>
          <w:sz w:val="32"/>
          <w:szCs w:val="32"/>
        </w:rPr>
      </w:pPr>
      <w:r>
        <w:rPr>
          <w:rFonts w:hint="eastAsia" w:ascii="楷体" w:hAnsi="楷体" w:eastAsia="楷体" w:cs="宋体"/>
          <w:color w:val="0000FF"/>
          <w:kern w:val="0"/>
          <w:sz w:val="32"/>
          <w:szCs w:val="32"/>
        </w:rPr>
        <w:t>图三：《中国公民民族成份登记管理办法》图解</w:t>
      </w:r>
    </w:p>
    <w:p>
      <w:pPr>
        <w:widowControl/>
        <w:ind w:firstLine="48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ind w:firstLine="480"/>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（五）充分发挥国家民委政务公开与信息工作领导小组作用，加强监督管理。</w:t>
      </w:r>
      <w:r>
        <w:rPr>
          <w:rFonts w:hint="eastAsia" w:ascii="宋体" w:hAnsi="宋体" w:eastAsia="宋体" w:cs="宋体"/>
          <w:color w:val="000000"/>
          <w:kern w:val="0"/>
          <w:sz w:val="32"/>
          <w:szCs w:val="32"/>
        </w:rPr>
        <w:t>年初制定“国家民委2021年政务公开工作要点及任务分工”，明确年度重点工作、落实责任；每月对委机关各部门政务公开情况进行统计通报；每季度公开政府网站和官方微信公众号运行情况检查公告，每年按时向社会公开统计报表。</w:t>
      </w:r>
    </w:p>
    <w:p>
      <w:pPr>
        <w:widowControl/>
        <w:ind w:firstLine="480"/>
        <w:jc w:val="left"/>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本年</w:t>
            </w:r>
            <w:r>
              <w:rPr>
                <w:rFonts w:ascii="宋体" w:hAnsi="宋体" w:eastAsia="宋体" w:cs="Calibri"/>
                <w:kern w:val="0"/>
                <w:szCs w:val="32"/>
              </w:rPr>
              <w:t>制</w:t>
            </w:r>
            <w:r>
              <w:rPr>
                <w:rFonts w:hint="eastAsia" w:ascii="宋体" w:hAnsi="宋体" w:eastAsia="宋体" w:cs="宋体"/>
                <w:kern w:val="0"/>
                <w:szCs w:val="32"/>
              </w:rPr>
              <w:t>发件</w:t>
            </w:r>
            <w:r>
              <w:rPr>
                <w:rFonts w:ascii="宋体" w:hAnsi="宋体" w:eastAsia="宋体" w:cs="Calibri"/>
                <w:kern w:val="0"/>
                <w:szCs w:val="32"/>
              </w:rPr>
              <w:t>数</w:t>
            </w:r>
          </w:p>
        </w:tc>
        <w:tc>
          <w:tcPr>
            <w:tcW w:w="2435" w:type="dxa"/>
            <w:tcBorders>
              <w:top w:val="single" w:color="auto" w:sz="8"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现行有效件</w:t>
            </w:r>
            <w:r>
              <w:rPr>
                <w:rFonts w:ascii="宋体" w:hAnsi="宋体" w:eastAsia="宋体" w:cs="Calibri"/>
                <w:kern w:val="0"/>
                <w:szCs w:val="32"/>
              </w:rPr>
              <w:t>数</w:t>
            </w:r>
          </w:p>
        </w:tc>
      </w:tr>
      <w:tr>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0</w:t>
            </w:r>
          </w:p>
        </w:tc>
        <w:tc>
          <w:tcPr>
            <w:tcW w:w="2435"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ascii="宋体" w:hAnsi="宋体" w:eastAsia="宋体" w:cs="宋体"/>
                <w:color w:val="000000"/>
                <w:kern w:val="0"/>
                <w:szCs w:val="32"/>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ascii="宋体" w:hAnsi="宋体" w:eastAsia="宋体" w:cs="宋体"/>
                <w:color w:val="000000"/>
                <w:kern w:val="0"/>
                <w:szCs w:val="32"/>
              </w:rPr>
              <w:t>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0</w:t>
            </w:r>
          </w:p>
        </w:tc>
        <w:tc>
          <w:tcPr>
            <w:tcW w:w="2435"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kern w:val="0"/>
                <w:szCs w:val="32"/>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58</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行政许可</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ascii="Calibri" w:hAnsi="Calibri" w:eastAsia="宋体" w:cs="Calibri"/>
                <w:szCs w:val="32"/>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before="100" w:beforeAutospacing="1"/>
              <w:jc w:val="center"/>
              <w:rPr>
                <w:rFonts w:ascii="宋体" w:hAnsi="宋体" w:eastAsia="宋体" w:cs="宋体"/>
                <w:kern w:val="0"/>
                <w:szCs w:val="32"/>
              </w:rPr>
            </w:pPr>
            <w:r>
              <w:rPr>
                <w:rFonts w:hint="eastAsia" w:ascii="宋体" w:hAnsi="宋体" w:eastAsia="宋体" w:cs="宋体"/>
                <w:color w:val="000000"/>
                <w:kern w:val="0"/>
                <w:szCs w:val="32"/>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jc w:val="left"/>
              <w:rPr>
                <w:rFonts w:ascii="宋体" w:hAnsi="宋体" w:eastAsia="宋体" w:cs="宋体"/>
                <w:kern w:val="0"/>
                <w:szCs w:val="32"/>
              </w:rPr>
            </w:pPr>
            <w:r>
              <w:rPr>
                <w:rFonts w:hint="eastAsia" w:ascii="宋体" w:hAnsi="宋体" w:eastAsia="宋体" w:cs="宋体"/>
                <w:color w:val="000000"/>
                <w:kern w:val="0"/>
                <w:szCs w:val="32"/>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Cs w:val="32"/>
              </w:rPr>
            </w:pPr>
            <w:r>
              <w:rPr>
                <w:rFonts w:hint="eastAsia" w:ascii="宋体" w:hAnsi="宋体" w:eastAsia="宋体" w:cs="宋体"/>
                <w:kern w:val="0"/>
                <w:szCs w:val="32"/>
              </w:rPr>
              <w:t>0</w:t>
            </w:r>
          </w:p>
        </w:tc>
      </w:tr>
    </w:tbl>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br w:type="textWrapping" w:clear="all"/>
      </w:r>
      <w:r>
        <w:rPr>
          <w:rFonts w:hint="eastAsia" w:ascii="宋体" w:hAnsi="宋体" w:eastAsia="宋体" w:cs="宋体"/>
          <w:color w:val="000000"/>
          <w:kern w:val="0"/>
          <w:sz w:val="32"/>
          <w:szCs w:val="32"/>
        </w:rPr>
        <w:t>  </w:t>
      </w:r>
      <w:r>
        <w:rPr>
          <w:rFonts w:hint="eastAsia" w:ascii="黑体" w:hAnsi="黑体" w:eastAsia="黑体" w:cs="宋体"/>
          <w:b/>
          <w:bCs/>
          <w:color w:val="000000"/>
          <w:kern w:val="0"/>
          <w:sz w:val="32"/>
          <w:szCs w:val="32"/>
        </w:rPr>
        <w:t>三、收到和处理政府信息公开申请情况</w:t>
      </w:r>
    </w:p>
    <w:tbl>
      <w:tblPr>
        <w:tblStyle w:val="5"/>
        <w:tblW w:w="9071" w:type="dxa"/>
        <w:jc w:val="center"/>
        <w:tblLayout w:type="autofit"/>
        <w:tblCellMar>
          <w:top w:w="15" w:type="dxa"/>
          <w:left w:w="15" w:type="dxa"/>
          <w:bottom w:w="15" w:type="dxa"/>
          <w:right w:w="15" w:type="dxa"/>
        </w:tblCellMar>
      </w:tblPr>
      <w:tblGrid>
        <w:gridCol w:w="636"/>
        <w:gridCol w:w="854"/>
        <w:gridCol w:w="2079"/>
        <w:gridCol w:w="812"/>
        <w:gridCol w:w="754"/>
        <w:gridCol w:w="754"/>
        <w:gridCol w:w="812"/>
        <w:gridCol w:w="971"/>
        <w:gridCol w:w="711"/>
        <w:gridCol w:w="688"/>
      </w:tblGrid>
      <w:tr>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申请人情况</w:t>
            </w:r>
          </w:p>
        </w:tc>
      </w:tr>
      <w:tr>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自然人</w:t>
            </w:r>
          </w:p>
        </w:tc>
        <w:tc>
          <w:tcPr>
            <w:tcW w:w="401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法人或其他组织</w:t>
            </w:r>
          </w:p>
        </w:tc>
        <w:tc>
          <w:tcPr>
            <w:tcW w:w="68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总计</w:t>
            </w:r>
          </w:p>
        </w:tc>
      </w:tr>
      <w:tr>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科研机构</w:t>
            </w:r>
          </w:p>
        </w:tc>
        <w:tc>
          <w:tcPr>
            <w:tcW w:w="8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社会公益组织</w:t>
            </w:r>
          </w:p>
        </w:tc>
        <w:tc>
          <w:tcPr>
            <w:tcW w:w="9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r>
      <w:tr>
        <w:trPr>
          <w:jc w:val="center"/>
        </w:trPr>
        <w:tc>
          <w:tcPr>
            <w:tcW w:w="35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宋体" w:hAnsi="宋体" w:eastAsia="宋体" w:cs="Calibri"/>
                <w:kern w:val="0"/>
                <w:szCs w:val="32"/>
              </w:rPr>
              <w:t>一、本年新收政府信息公开申请数量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20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20</w:t>
            </w:r>
          </w:p>
        </w:tc>
      </w:tr>
      <w:tr>
        <w:trPr>
          <w:jc w:val="center"/>
        </w:trPr>
        <w:tc>
          <w:tcPr>
            <w:tcW w:w="35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宋体" w:hAnsi="宋体" w:eastAsia="宋体" w:cs="Calibri"/>
                <w:kern w:val="0"/>
                <w:szCs w:val="32"/>
              </w:rPr>
              <w:t>二、上年结转政府信息公开申请数量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6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宋体" w:hAnsi="宋体" w:eastAsia="宋体" w:cs="Calibri"/>
                <w:kern w:val="0"/>
                <w:szCs w:val="32"/>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（一）予以公开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6</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6</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（二）部分公开（区分处理的，只计这一情形，不计其他情形）</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1.属于国家秘密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2.其他法律行政法规禁止公开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3.危及“三安全一稳定”</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4.保护第三方合法权益</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5.属于三类内部事务信息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6.属于四类过程性信息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7.属于行政执法案卷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8.属于行政查询事项</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1.本机关不掌握相关政府信息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4</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2.没有现成信息需要另行制作</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3</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3</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3.补正后申请内容仍不明确</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1.信访举报投诉类申请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2.重复申请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3.要求提供公开出版物</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4</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4.无正当理由大量反复申请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5.要求行政机关确认或重新出具已获取信息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trHeight w:val="11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（六）其他处理</w:t>
            </w:r>
          </w:p>
        </w:tc>
        <w:tc>
          <w:tcPr>
            <w:tcW w:w="2086" w:type="dxa"/>
            <w:tcBorders>
              <w:top w:val="nil"/>
              <w:left w:val="nil"/>
              <w:bottom w:val="single" w:color="auto" w:sz="8" w:space="0"/>
              <w:right w:val="single" w:color="auto" w:sz="8" w:space="0"/>
            </w:tcBorders>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1</w:t>
            </w:r>
            <w:r>
              <w:rPr>
                <w:rFonts w:ascii="楷体" w:hAnsi="楷体" w:eastAsia="楷体" w:cs="Calibri"/>
                <w:kern w:val="0"/>
                <w:szCs w:val="32"/>
              </w:rPr>
              <w:t>.</w:t>
            </w:r>
            <w:r>
              <w:rPr>
                <w:rFonts w:hint="eastAsia" w:ascii="楷体" w:hAnsi="楷体" w:eastAsia="楷体" w:cs="Calibri"/>
                <w:kern w:val="0"/>
                <w:szCs w:val="32"/>
              </w:rPr>
              <w:t>申请人无正当理由逾期不补正、行政机关不再处理其政府信息公开申请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spacing w:after="180"/>
              <w:jc w:val="left"/>
              <w:rPr>
                <w:rFonts w:ascii="楷体" w:hAnsi="楷体" w:eastAsia="楷体" w:cs="Calibri"/>
                <w:kern w:val="0"/>
                <w:szCs w:val="32"/>
              </w:rPr>
            </w:pPr>
          </w:p>
        </w:tc>
        <w:tc>
          <w:tcPr>
            <w:tcW w:w="2086" w:type="dxa"/>
            <w:tcBorders>
              <w:top w:val="nil"/>
              <w:left w:val="nil"/>
              <w:bottom w:val="single" w:color="auto" w:sz="8" w:space="0"/>
              <w:right w:val="single" w:color="auto" w:sz="8" w:space="0"/>
            </w:tcBorders>
            <w:vAlign w:val="center"/>
          </w:tcPr>
          <w:p>
            <w:pPr>
              <w:widowControl/>
              <w:spacing w:after="180"/>
              <w:jc w:val="left"/>
              <w:rPr>
                <w:rFonts w:ascii="楷体" w:hAnsi="楷体" w:eastAsia="楷体" w:cs="Calibri"/>
                <w:kern w:val="0"/>
                <w:szCs w:val="32"/>
              </w:rPr>
            </w:pPr>
            <w:r>
              <w:rPr>
                <w:rFonts w:hint="eastAsia" w:ascii="楷体" w:hAnsi="楷体" w:eastAsia="楷体" w:cs="Calibri"/>
                <w:kern w:val="0"/>
                <w:szCs w:val="32"/>
              </w:rPr>
              <w:t>2</w:t>
            </w:r>
            <w:r>
              <w:rPr>
                <w:rFonts w:ascii="楷体" w:hAnsi="楷体" w:eastAsia="楷体" w:cs="Calibri"/>
                <w:kern w:val="0"/>
                <w:szCs w:val="32"/>
              </w:rPr>
              <w:t>.</w:t>
            </w:r>
            <w:r>
              <w:rPr>
                <w:rFonts w:hint="eastAsia" w:ascii="楷体" w:hAnsi="楷体" w:eastAsia="楷体" w:cs="Calibri"/>
                <w:kern w:val="0"/>
                <w:szCs w:val="32"/>
              </w:rPr>
              <w:t>申请人逾期未按收费通知要求缴纳费用、行政机关不再处理其政府信息公开申请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楷体" w:hAnsi="楷体" w:eastAsia="楷体" w:cs="Calibri"/>
                <w:kern w:val="0"/>
                <w:szCs w:val="32"/>
              </w:rPr>
            </w:pPr>
          </w:p>
        </w:tc>
        <w:tc>
          <w:tcPr>
            <w:tcW w:w="2086" w:type="dxa"/>
            <w:tcBorders>
              <w:top w:val="nil"/>
              <w:left w:val="nil"/>
              <w:bottom w:val="single" w:color="auto" w:sz="8" w:space="0"/>
              <w:right w:val="single" w:color="auto" w:sz="8" w:space="0"/>
            </w:tcBorders>
            <w:vAlign w:val="center"/>
          </w:tcPr>
          <w:p>
            <w:pPr>
              <w:widowControl/>
              <w:spacing w:after="180"/>
              <w:jc w:val="left"/>
              <w:rPr>
                <w:rFonts w:ascii="楷体" w:hAnsi="楷体" w:eastAsia="楷体" w:cs="Calibri"/>
                <w:kern w:val="0"/>
                <w:szCs w:val="32"/>
              </w:rPr>
            </w:pPr>
            <w:r>
              <w:rPr>
                <w:rFonts w:hint="eastAsia" w:ascii="楷体" w:hAnsi="楷体" w:eastAsia="楷体" w:cs="Calibri"/>
                <w:kern w:val="0"/>
                <w:szCs w:val="32"/>
              </w:rPr>
              <w:t>3</w:t>
            </w:r>
            <w:r>
              <w:rPr>
                <w:rFonts w:ascii="楷体" w:hAnsi="楷体" w:eastAsia="楷体" w:cs="Calibri"/>
                <w:kern w:val="0"/>
                <w:szCs w:val="32"/>
              </w:rPr>
              <w:t>.</w:t>
            </w:r>
            <w:r>
              <w:rPr>
                <w:rFonts w:hint="eastAsia" w:ascii="楷体" w:hAnsi="楷体" w:eastAsia="楷体" w:cs="Calibri"/>
                <w:kern w:val="0"/>
                <w:szCs w:val="32"/>
              </w:rPr>
              <w:t>其他</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0</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1</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32"/>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楷体" w:hAnsi="楷体" w:eastAsia="楷体" w:cs="Calibri"/>
                <w:kern w:val="0"/>
                <w:szCs w:val="32"/>
              </w:rPr>
              <w:t>（七）总计</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20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20</w:t>
            </w:r>
          </w:p>
        </w:tc>
      </w:tr>
      <w:tr>
        <w:trPr>
          <w:jc w:val="center"/>
        </w:trPr>
        <w:tc>
          <w:tcPr>
            <w:tcW w:w="35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left"/>
              <w:rPr>
                <w:rFonts w:ascii="Calibri" w:hAnsi="Calibri" w:eastAsia="宋体" w:cs="Calibri"/>
                <w:kern w:val="0"/>
                <w:szCs w:val="32"/>
              </w:rPr>
            </w:pPr>
            <w:r>
              <w:rPr>
                <w:rFonts w:hint="eastAsia" w:ascii="宋体" w:hAnsi="宋体" w:eastAsia="宋体" w:cs="Calibri"/>
                <w:kern w:val="0"/>
                <w:szCs w:val="32"/>
              </w:rPr>
              <w:t>四、结转下年度继续办理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 </w:t>
            </w:r>
            <w:r>
              <w:rPr>
                <w:rFonts w:hint="eastAsia" w:ascii="Calibri" w:hAnsi="Calibri" w:eastAsia="宋体" w:cs="Calibri"/>
                <w:kern w:val="0"/>
                <w:szCs w:val="32"/>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hint="eastAsia" w:ascii="Calibri" w:hAnsi="Calibri" w:eastAsia="宋体" w:cs="Calibri"/>
                <w:kern w:val="0"/>
                <w:szCs w:val="32"/>
              </w:rPr>
              <w:t>0</w:t>
            </w:r>
            <w:r>
              <w:rPr>
                <w:rFonts w:ascii="Calibri" w:hAnsi="Calibri" w:eastAsia="宋体" w:cs="Calibri"/>
                <w:kern w:val="0"/>
                <w:szCs w:val="32"/>
              </w:rPr>
              <w:t> </w:t>
            </w:r>
          </w:p>
        </w:tc>
        <w:tc>
          <w:tcPr>
            <w:tcW w:w="6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32"/>
              </w:rPr>
            </w:pPr>
            <w:r>
              <w:rPr>
                <w:rFonts w:ascii="Calibri" w:hAnsi="Calibri" w:eastAsia="宋体" w:cs="Calibri"/>
                <w:kern w:val="0"/>
                <w:szCs w:val="32"/>
              </w:rPr>
              <w:t> </w:t>
            </w:r>
            <w:r>
              <w:rPr>
                <w:rFonts w:hint="eastAsia" w:ascii="Calibri" w:hAnsi="Calibri" w:eastAsia="宋体" w:cs="Calibri"/>
                <w:kern w:val="0"/>
                <w:szCs w:val="32"/>
              </w:rPr>
              <w:t>0</w:t>
            </w:r>
          </w:p>
        </w:tc>
      </w:tr>
    </w:tbl>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黑体" w:hAnsi="黑体" w:eastAsia="黑体" w:cs="宋体"/>
          <w:b/>
          <w:bCs/>
          <w:color w:val="000000"/>
          <w:kern w:val="0"/>
          <w:sz w:val="32"/>
          <w:szCs w:val="32"/>
        </w:rPr>
        <w:t>四、政府信息公开行政复议、行政诉讼情况</w:t>
      </w:r>
    </w:p>
    <w:tbl>
      <w:tblPr>
        <w:tblStyle w:val="5"/>
        <w:tblW w:w="0" w:type="auto"/>
        <w:jc w:val="center"/>
        <w:tblLayout w:type="autofit"/>
        <w:tblCellMar>
          <w:top w:w="15" w:type="dxa"/>
          <w:left w:w="15" w:type="dxa"/>
          <w:bottom w:w="15" w:type="dxa"/>
          <w:right w:w="15" w:type="dxa"/>
        </w:tblCellMar>
      </w:tblPr>
      <w:tblGrid>
        <w:gridCol w:w="568"/>
        <w:gridCol w:w="568"/>
        <w:gridCol w:w="568"/>
        <w:gridCol w:w="568"/>
        <w:gridCol w:w="610"/>
        <w:gridCol w:w="525"/>
        <w:gridCol w:w="568"/>
        <w:gridCol w:w="568"/>
        <w:gridCol w:w="568"/>
        <w:gridCol w:w="568"/>
        <w:gridCol w:w="568"/>
        <w:gridCol w:w="568"/>
        <w:gridCol w:w="568"/>
        <w:gridCol w:w="569"/>
        <w:gridCol w:w="570"/>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行政诉讼</w:t>
            </w:r>
          </w:p>
        </w:tc>
      </w:tr>
      <w:tr>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总</w:t>
            </w:r>
          </w:p>
          <w:p>
            <w:pPr>
              <w:widowControl/>
              <w:spacing w:after="180"/>
              <w:jc w:val="center"/>
              <w:rPr>
                <w:rFonts w:ascii="Calibri" w:hAnsi="Calibri" w:eastAsia="宋体" w:cs="Calibri"/>
                <w:kern w:val="0"/>
                <w:szCs w:val="21"/>
              </w:rPr>
            </w:pPr>
            <w:r>
              <w:rPr>
                <w:rFonts w:hint="eastAsia" w:ascii="宋体" w:hAnsi="宋体" w:eastAsia="宋体" w:cs="Calibri"/>
                <w:kern w:val="0"/>
                <w:szCs w:val="21"/>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Calibri" w:hAnsi="Calibri" w:eastAsia="宋体" w:cs="Calibri"/>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Calibri" w:hAnsi="Calibri" w:eastAsia="宋体" w:cs="Calibri"/>
                <w:kern w:val="0"/>
                <w:szCs w:val="21"/>
              </w:rPr>
            </w:pPr>
            <w:r>
              <w:rPr>
                <w:rFonts w:hint="eastAsia" w:ascii="宋体" w:hAnsi="宋体" w:eastAsia="宋体" w:cs="Calibri"/>
                <w:kern w:val="0"/>
                <w:szCs w:val="21"/>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spacing w:after="180"/>
              <w:jc w:val="center"/>
              <w:rPr>
                <w:rFonts w:ascii="Calibri" w:hAnsi="Calibri" w:eastAsia="宋体" w:cs="Calibri"/>
                <w:kern w:val="0"/>
                <w:szCs w:val="21"/>
              </w:rPr>
            </w:pPr>
            <w:r>
              <w:rPr>
                <w:rFonts w:hint="eastAsia" w:ascii="仿宋_GB2312" w:hAnsi="Calibri" w:eastAsia="仿宋_GB2312" w:cs="Calibri"/>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Calibri" w:hAnsi="Calibri" w:eastAsia="宋体" w:cs="Calibri"/>
                <w:kern w:val="0"/>
                <w:szCs w:val="21"/>
              </w:rPr>
            </w:pPr>
            <w:r>
              <w:rPr>
                <w:rFonts w:hint="eastAsia" w:ascii="仿宋_GB2312" w:hAnsi="Calibri" w:eastAsia="仿宋_GB2312" w:cs="Calibri"/>
                <w:kern w:val="0"/>
                <w:szCs w:val="21"/>
              </w:rPr>
              <w:t>0</w:t>
            </w:r>
          </w:p>
        </w:tc>
      </w:tr>
    </w:tbl>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widowControl/>
        <w:ind w:firstLine="480"/>
        <w:jc w:val="left"/>
        <w:rPr>
          <w:rFonts w:ascii="宋体" w:hAnsi="宋体" w:eastAsia="宋体" w:cs="宋体"/>
          <w:color w:val="000000"/>
          <w:kern w:val="0"/>
          <w:sz w:val="32"/>
          <w:szCs w:val="32"/>
        </w:rPr>
      </w:pPr>
      <w:r>
        <w:rPr>
          <w:rFonts w:hint="eastAsia" w:ascii="黑体" w:hAnsi="黑体" w:eastAsia="黑体" w:cs="宋体"/>
          <w:b/>
          <w:bCs/>
          <w:color w:val="000000"/>
          <w:kern w:val="0"/>
          <w:sz w:val="32"/>
          <w:szCs w:val="32"/>
        </w:rPr>
        <w:t>五、存在的主要问题及改进情况</w:t>
      </w:r>
    </w:p>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针对工作中存在的宣传解读有待加强、展现形式不丰富等不足，着力加强政策理论解读，丰富展现形式。一是紧紧围绕中央民族工作会议精神的贯彻落实，制作专题，推出署名文章、评论员文章，对会议精神深入阐释。二是制作图解图说、开设网上展馆、开展在线展播等，增强网站亲和力和吸引力。三是发布《2021年度国家民委网站主任信箱办理情况》，促进政务公开更加全面。</w:t>
      </w:r>
    </w:p>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2022年，国家民委将深入贯彻落实习近平总书记关于加强和改进民族工作的重要思想，持续贯彻《中华人民共和国政府信息公开条例》，继续改进政务公开工作，加强政府信息资源建设，满足公众需求。</w:t>
      </w:r>
    </w:p>
    <w:p>
      <w:pPr>
        <w:widowControl/>
        <w:ind w:firstLine="480"/>
        <w:jc w:val="left"/>
        <w:rPr>
          <w:rFonts w:ascii="宋体" w:hAnsi="宋体" w:eastAsia="宋体" w:cs="宋体"/>
          <w:color w:val="000000"/>
          <w:kern w:val="0"/>
          <w:sz w:val="32"/>
          <w:szCs w:val="32"/>
        </w:rPr>
      </w:pPr>
      <w:r>
        <w:rPr>
          <w:rFonts w:hint="eastAsia" w:ascii="黑体" w:hAnsi="黑体" w:eastAsia="黑体" w:cs="宋体"/>
          <w:b/>
          <w:bCs/>
          <w:color w:val="000000"/>
          <w:kern w:val="0"/>
          <w:sz w:val="32"/>
          <w:szCs w:val="32"/>
        </w:rPr>
        <w:t>六、其他需要报告的事项</w:t>
      </w:r>
    </w:p>
    <w:p>
      <w:pPr>
        <w:widowControl/>
        <w:ind w:firstLine="48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2021年，国家民委未收取政府信息公开处理费用。</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roman"/>
    <w:pitch w:val="default"/>
    <w:sig w:usb0="00000000" w:usb1="00000000" w:usb2="0000001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56580"/>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3E"/>
    <w:rsid w:val="000E783E"/>
    <w:rsid w:val="001564B1"/>
    <w:rsid w:val="00244E01"/>
    <w:rsid w:val="00281C18"/>
    <w:rsid w:val="003D2F1F"/>
    <w:rsid w:val="004A2DD1"/>
    <w:rsid w:val="0050783F"/>
    <w:rsid w:val="00660EEC"/>
    <w:rsid w:val="006A13C0"/>
    <w:rsid w:val="00773DD0"/>
    <w:rsid w:val="007841AD"/>
    <w:rsid w:val="00B66052"/>
    <w:rsid w:val="00CA6DA7"/>
    <w:rsid w:val="00F72643"/>
    <w:rsid w:val="7CDA89F4"/>
    <w:rsid w:val="FCBFD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439</Words>
  <Characters>2504</Characters>
  <Lines>20</Lines>
  <Paragraphs>5</Paragraphs>
  <TotalTime>12</TotalTime>
  <ScaleCrop>false</ScaleCrop>
  <LinksUpToDate>false</LinksUpToDate>
  <CharactersWithSpaces>2938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2022-01-30T02:39:00Z</dcterms:created>
  <dc:creator>bo.wang</dc:creator>
  <cp:lastModifiedBy>user</cp:lastModifiedBy>
  <dcterms:modified xsi:type="dcterms:W3CDTF">2022-01-30T08:28:58Z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